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BC6A01" w:rsidRPr="00BC6A01" w:rsidRDefault="00BC6A01" w:rsidP="00BC6A01">
      <w:pPr>
        <w:spacing w:before="100" w:beforeAutospacing="1" w:after="100" w:afterAutospacing="1" w:line="240" w:lineRule="auto"/>
        <w:ind w:left="2124" w:firstLine="708"/>
        <w:jc w:val="both"/>
        <w:outlineLvl w:val="2"/>
        <w:rPr>
          <w:rFonts w:ascii="Times New Roman" w:eastAsia="Times New Roman" w:hAnsi="Times New Roman" w:cs="Times New Roman"/>
          <w:kern w:val="0"/>
          <w:lang w:eastAsia="pt-BR"/>
          <w14:ligatures w14:val="none"/>
        </w:rPr>
      </w:pPr>
      <w:r w:rsidRPr="00BC6A01">
        <w:rPr>
          <w:rFonts w:ascii="Times New Roman" w:eastAsia="Times New Roman" w:hAnsi="Times New Roman" w:cs="Times New Roman"/>
          <w:kern w:val="0"/>
          <w:lang w:eastAsia="pt-BR"/>
          <w14:ligatures w14:val="none"/>
        </w:rPr>
        <w:t xml:space="preserve">RESOLUÇÃO Nº </w:t>
      </w:r>
      <w:r w:rsidRPr="00BC6A01">
        <w:rPr>
          <w:rFonts w:ascii="Times New Roman" w:eastAsia="Times New Roman" w:hAnsi="Times New Roman" w:cs="Times New Roman"/>
          <w:kern w:val="0"/>
          <w:lang w:eastAsia="pt-BR"/>
          <w14:ligatures w14:val="none"/>
        </w:rPr>
        <w:t xml:space="preserve">20, de </w:t>
      </w:r>
    </w:p>
    <w:p w:rsidR="00BC6A01" w:rsidRDefault="00BC6A01" w:rsidP="00BC6A01">
      <w:pPr>
        <w:spacing w:before="100" w:beforeAutospacing="1" w:after="100" w:afterAutospacing="1" w:line="240" w:lineRule="auto"/>
        <w:ind w:left="3544"/>
        <w:jc w:val="both"/>
        <w:rPr>
          <w:rFonts w:ascii="Times New Roman" w:eastAsia="Times New Roman" w:hAnsi="Times New Roman" w:cs="Times New Roman"/>
          <w:kern w:val="0"/>
          <w:lang w:eastAsia="pt-BR"/>
          <w14:ligatures w14:val="none"/>
        </w:rPr>
      </w:pPr>
    </w:p>
    <w:p w:rsidR="00BC6A01" w:rsidRDefault="00BC6A01" w:rsidP="00BC6A01">
      <w:pPr>
        <w:spacing w:before="100" w:beforeAutospacing="1" w:after="100" w:afterAutospacing="1" w:line="240" w:lineRule="auto"/>
        <w:ind w:left="3544"/>
        <w:jc w:val="both"/>
        <w:rPr>
          <w:rFonts w:ascii="Times New Roman" w:eastAsia="Times New Roman" w:hAnsi="Times New Roman" w:cs="Times New Roman"/>
          <w:kern w:val="0"/>
          <w:lang w:eastAsia="pt-BR"/>
          <w14:ligatures w14:val="none"/>
        </w:rPr>
      </w:pPr>
      <w:r w:rsidRPr="00BC6A01">
        <w:rPr>
          <w:rFonts w:ascii="Times New Roman" w:eastAsia="Times New Roman" w:hAnsi="Times New Roman" w:cs="Times New Roman"/>
          <w:kern w:val="0"/>
          <w:lang w:eastAsia="pt-BR"/>
          <w14:ligatures w14:val="none"/>
        </w:rPr>
        <w:t>Institui Comitê Permanente para análise técnica de demandas de saúde, no âmbito do Conselho Curador dos Honorários Advocatícios – CCHA.</w:t>
      </w:r>
    </w:p>
    <w:p w:rsidR="00BC6A01" w:rsidRDefault="00BC6A01" w:rsidP="00BC6A01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kern w:val="0"/>
          <w:lang w:eastAsia="pt-BR"/>
          <w14:ligatures w14:val="none"/>
        </w:rPr>
      </w:pPr>
    </w:p>
    <w:p w:rsidR="00BC6A01" w:rsidRDefault="00BC6A01" w:rsidP="00BC6A01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kern w:val="0"/>
          <w:lang w:eastAsia="pt-BR"/>
          <w14:ligatures w14:val="none"/>
        </w:rPr>
      </w:pPr>
    </w:p>
    <w:p w:rsidR="00BC6A01" w:rsidRPr="00BC6A01" w:rsidRDefault="00BC6A01" w:rsidP="00BC6A01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kern w:val="0"/>
          <w:lang w:eastAsia="pt-BR"/>
          <w14:ligatures w14:val="none"/>
        </w:rPr>
      </w:pPr>
      <w:r w:rsidRPr="00BC6A01">
        <w:rPr>
          <w:rFonts w:ascii="Times New Roman" w:eastAsia="Times New Roman" w:hAnsi="Times New Roman" w:cs="Times New Roman"/>
          <w:kern w:val="0"/>
          <w:lang w:eastAsia="pt-BR"/>
          <w14:ligatures w14:val="none"/>
        </w:rPr>
        <w:t>O PRESIDENTE DO CONSELHO CURADOR DOS HONORÁRIOS ADVOCATÍCIOS, no uso das atribuições que lhe conferem o art. 3º, inciso II, o art. 9º, inciso XI, e o art. 14 do Regimento Interno,</w:t>
      </w:r>
      <w:r>
        <w:rPr>
          <w:rFonts w:ascii="Times New Roman" w:eastAsia="Times New Roman" w:hAnsi="Times New Roman" w:cs="Times New Roman"/>
          <w:kern w:val="0"/>
          <w:lang w:eastAsia="pt-BR"/>
          <w14:ligatures w14:val="none"/>
        </w:rPr>
        <w:t xml:space="preserve"> </w:t>
      </w:r>
    </w:p>
    <w:p w:rsidR="00BC6A01" w:rsidRPr="00BC6A01" w:rsidRDefault="00BC6A01" w:rsidP="00BC6A0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eastAsia="pt-BR"/>
          <w14:ligatures w14:val="none"/>
        </w:rPr>
      </w:pPr>
    </w:p>
    <w:p w:rsidR="00BC6A01" w:rsidRPr="00BC6A01" w:rsidRDefault="00BC6A01" w:rsidP="00BC6A01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kern w:val="0"/>
          <w:lang w:eastAsia="pt-BR"/>
          <w14:ligatures w14:val="none"/>
        </w:rPr>
      </w:pPr>
      <w:r w:rsidRPr="00BC6A01">
        <w:rPr>
          <w:rFonts w:ascii="Times New Roman" w:eastAsia="Times New Roman" w:hAnsi="Times New Roman" w:cs="Times New Roman"/>
          <w:kern w:val="0"/>
          <w:lang w:eastAsia="pt-BR"/>
          <w14:ligatures w14:val="none"/>
        </w:rPr>
        <w:t>RESOLVE:</w:t>
      </w:r>
      <w:r>
        <w:rPr>
          <w:rFonts w:ascii="Times New Roman" w:eastAsia="Times New Roman" w:hAnsi="Times New Roman" w:cs="Times New Roman"/>
          <w:kern w:val="0"/>
          <w:lang w:eastAsia="pt-BR"/>
          <w14:ligatures w14:val="none"/>
        </w:rPr>
        <w:tab/>
      </w:r>
    </w:p>
    <w:p w:rsidR="00BC6A01" w:rsidRPr="00BC6A01" w:rsidRDefault="00BC6A01" w:rsidP="00BC6A01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eastAsia="pt-BR"/>
          <w14:ligatures w14:val="none"/>
        </w:rPr>
      </w:pPr>
    </w:p>
    <w:p w:rsidR="00BC6A01" w:rsidRPr="00BC6A01" w:rsidRDefault="00BC6A01" w:rsidP="00BC6A01">
      <w:pPr>
        <w:spacing w:before="100" w:beforeAutospacing="1" w:after="100" w:afterAutospacing="1" w:line="240" w:lineRule="auto"/>
        <w:ind w:firstLine="708"/>
        <w:jc w:val="both"/>
        <w:outlineLvl w:val="2"/>
        <w:rPr>
          <w:rFonts w:ascii="Times New Roman" w:eastAsia="Times New Roman" w:hAnsi="Times New Roman" w:cs="Times New Roman"/>
          <w:kern w:val="0"/>
          <w:lang w:eastAsia="pt-BR"/>
          <w14:ligatures w14:val="none"/>
        </w:rPr>
      </w:pPr>
      <w:r w:rsidRPr="00BC6A01">
        <w:rPr>
          <w:rFonts w:ascii="Times New Roman" w:eastAsia="Times New Roman" w:hAnsi="Times New Roman" w:cs="Times New Roman"/>
          <w:kern w:val="0"/>
          <w:lang w:eastAsia="pt-BR"/>
          <w14:ligatures w14:val="none"/>
        </w:rPr>
        <w:t>Art. 1</w:t>
      </w:r>
      <w:proofErr w:type="gramStart"/>
      <w:r w:rsidRPr="00BC6A01">
        <w:rPr>
          <w:rFonts w:ascii="Times New Roman" w:eastAsia="Times New Roman" w:hAnsi="Times New Roman" w:cs="Times New Roman"/>
          <w:kern w:val="0"/>
          <w:lang w:eastAsia="pt-BR"/>
          <w14:ligatures w14:val="none"/>
        </w:rPr>
        <w:t>º</w:t>
      </w:r>
      <w:r w:rsidRPr="00BC6A01">
        <w:rPr>
          <w:rFonts w:ascii="Times New Roman" w:eastAsia="Times New Roman" w:hAnsi="Times New Roman" w:cs="Times New Roman"/>
          <w:kern w:val="0"/>
          <w:lang w:eastAsia="pt-BR"/>
          <w14:ligatures w14:val="none"/>
        </w:rPr>
        <w:t xml:space="preserve">  </w:t>
      </w:r>
      <w:r w:rsidRPr="00BC6A01">
        <w:rPr>
          <w:rFonts w:ascii="Times New Roman" w:eastAsia="Times New Roman" w:hAnsi="Times New Roman" w:cs="Times New Roman"/>
          <w:kern w:val="0"/>
          <w:lang w:eastAsia="pt-BR"/>
          <w14:ligatures w14:val="none"/>
        </w:rPr>
        <w:t>Fica</w:t>
      </w:r>
      <w:proofErr w:type="gramEnd"/>
      <w:r w:rsidRPr="00BC6A01">
        <w:rPr>
          <w:rFonts w:ascii="Times New Roman" w:eastAsia="Times New Roman" w:hAnsi="Times New Roman" w:cs="Times New Roman"/>
          <w:kern w:val="0"/>
          <w:lang w:eastAsia="pt-BR"/>
          <w14:ligatures w14:val="none"/>
        </w:rPr>
        <w:t xml:space="preserve"> instituído, com caráter </w:t>
      </w:r>
      <w:r w:rsidRPr="00BC6A01">
        <w:rPr>
          <w:rFonts w:ascii="Times New Roman" w:eastAsia="Times New Roman" w:hAnsi="Times New Roman" w:cs="Times New Roman"/>
          <w:kern w:val="0"/>
          <w:lang w:eastAsia="pt-BR"/>
          <w14:ligatures w14:val="none"/>
        </w:rPr>
        <w:t xml:space="preserve">temporário </w:t>
      </w:r>
      <w:r w:rsidRPr="00BC6A01">
        <w:rPr>
          <w:rFonts w:ascii="Times New Roman" w:eastAsia="Times New Roman" w:hAnsi="Times New Roman" w:cs="Times New Roman"/>
          <w:kern w:val="0"/>
          <w:lang w:eastAsia="pt-BR"/>
          <w14:ligatures w14:val="none"/>
        </w:rPr>
        <w:t>e natureza opinativa, o Comitê Técnico de Saúde, com a finalidade de analisar tecnicamente as demandas de saúde, à luz da Resolução que disciplina o auxílio-saúde e do respectivo Manual do Benefício, ambos elaborados no âmbito do Conselho Curador dos Honorários Advocatícios – CCHA.</w:t>
      </w:r>
    </w:p>
    <w:p w:rsidR="00BC6A01" w:rsidRPr="00BC6A01" w:rsidRDefault="00BC6A01" w:rsidP="00BC6A01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kern w:val="0"/>
          <w:lang w:eastAsia="pt-BR"/>
          <w14:ligatures w14:val="none"/>
        </w:rPr>
      </w:pPr>
      <w:r w:rsidRPr="00BC6A01">
        <w:rPr>
          <w:rFonts w:ascii="Times New Roman" w:eastAsia="Times New Roman" w:hAnsi="Times New Roman" w:cs="Times New Roman"/>
          <w:kern w:val="0"/>
          <w:lang w:eastAsia="pt-BR"/>
          <w14:ligatures w14:val="none"/>
        </w:rPr>
        <w:t>Parágrafo único. A análise técnica das demandas será realizada a partir de consulta elaborada pela empresa responsável pela validação de despesas de saúde contratada pelo CCHA, ou por consulta técnica formalizada pelo Conselho Gestor, mediante questionamento devidamente instruído e fundamentado.</w:t>
      </w:r>
    </w:p>
    <w:p w:rsidR="00BC6A01" w:rsidRPr="00BC6A01" w:rsidRDefault="00BC6A01" w:rsidP="00BC6A01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eastAsia="pt-BR"/>
          <w14:ligatures w14:val="none"/>
        </w:rPr>
      </w:pPr>
    </w:p>
    <w:p w:rsidR="00BC6A01" w:rsidRPr="00BC6A01" w:rsidRDefault="00BC6A01" w:rsidP="00BC6A01">
      <w:pPr>
        <w:spacing w:before="100" w:beforeAutospacing="1" w:after="100" w:afterAutospacing="1" w:line="240" w:lineRule="auto"/>
        <w:ind w:firstLine="708"/>
        <w:jc w:val="both"/>
        <w:outlineLvl w:val="2"/>
        <w:rPr>
          <w:rFonts w:ascii="Times New Roman" w:eastAsia="Times New Roman" w:hAnsi="Times New Roman" w:cs="Times New Roman"/>
          <w:kern w:val="0"/>
          <w:lang w:eastAsia="pt-BR"/>
          <w14:ligatures w14:val="none"/>
        </w:rPr>
      </w:pPr>
      <w:r w:rsidRPr="00BC6A01">
        <w:rPr>
          <w:rFonts w:ascii="Times New Roman" w:eastAsia="Times New Roman" w:hAnsi="Times New Roman" w:cs="Times New Roman"/>
          <w:kern w:val="0"/>
          <w:lang w:eastAsia="pt-BR"/>
          <w14:ligatures w14:val="none"/>
        </w:rPr>
        <w:t>Art. 2º</w:t>
      </w:r>
      <w:r w:rsidRPr="00BC6A01">
        <w:rPr>
          <w:rFonts w:ascii="Times New Roman" w:eastAsia="Times New Roman" w:hAnsi="Times New Roman" w:cs="Times New Roman"/>
          <w:kern w:val="0"/>
          <w:lang w:eastAsia="pt-BR"/>
          <w14:ligatures w14:val="none"/>
        </w:rPr>
        <w:t xml:space="preserve"> </w:t>
      </w:r>
      <w:r w:rsidRPr="00BC6A01">
        <w:rPr>
          <w:rFonts w:ascii="Times New Roman" w:eastAsia="Times New Roman" w:hAnsi="Times New Roman" w:cs="Times New Roman"/>
          <w:kern w:val="0"/>
          <w:lang w:eastAsia="pt-BR"/>
          <w14:ligatures w14:val="none"/>
        </w:rPr>
        <w:t>O Comitê será composto por 1 (um) representante de cada uma das seguintes carreiras jurídicas que integram o CCHA, indicados pelo respectivo representante titular da carreira no Conselho Gestor:</w:t>
      </w:r>
    </w:p>
    <w:p w:rsidR="00BC6A01" w:rsidRPr="00BC6A01" w:rsidRDefault="00BC6A01" w:rsidP="00BC6A01">
      <w:pPr>
        <w:spacing w:before="100" w:beforeAutospacing="1" w:after="100" w:afterAutospacing="1" w:line="240" w:lineRule="auto"/>
        <w:ind w:left="709"/>
        <w:jc w:val="both"/>
        <w:rPr>
          <w:rFonts w:ascii="Times New Roman" w:eastAsia="Times New Roman" w:hAnsi="Times New Roman" w:cs="Times New Roman"/>
          <w:kern w:val="0"/>
          <w:lang w:eastAsia="pt-BR"/>
          <w14:ligatures w14:val="none"/>
        </w:rPr>
      </w:pPr>
      <w:r w:rsidRPr="00BC6A01">
        <w:rPr>
          <w:rFonts w:ascii="Times New Roman" w:eastAsia="Times New Roman" w:hAnsi="Times New Roman" w:cs="Times New Roman"/>
          <w:kern w:val="0"/>
          <w:lang w:eastAsia="pt-BR"/>
          <w14:ligatures w14:val="none"/>
        </w:rPr>
        <w:t>I – Advogado da União;</w:t>
      </w:r>
      <w:r w:rsidRPr="00BC6A01">
        <w:rPr>
          <w:rFonts w:ascii="Times New Roman" w:eastAsia="Times New Roman" w:hAnsi="Times New Roman" w:cs="Times New Roman"/>
          <w:kern w:val="0"/>
          <w:lang w:eastAsia="pt-BR"/>
          <w14:ligatures w14:val="none"/>
        </w:rPr>
        <w:tab/>
      </w:r>
      <w:r w:rsidRPr="00BC6A01">
        <w:rPr>
          <w:rFonts w:ascii="Times New Roman" w:eastAsia="Times New Roman" w:hAnsi="Times New Roman" w:cs="Times New Roman"/>
          <w:kern w:val="0"/>
          <w:lang w:eastAsia="pt-BR"/>
          <w14:ligatures w14:val="none"/>
        </w:rPr>
        <w:br/>
        <w:t>II – Procurador do Banco Central;</w:t>
      </w:r>
      <w:r w:rsidRPr="00BC6A01">
        <w:rPr>
          <w:rFonts w:ascii="Times New Roman" w:eastAsia="Times New Roman" w:hAnsi="Times New Roman" w:cs="Times New Roman"/>
          <w:kern w:val="0"/>
          <w:lang w:eastAsia="pt-BR"/>
          <w14:ligatures w14:val="none"/>
        </w:rPr>
        <w:tab/>
      </w:r>
      <w:r w:rsidRPr="00BC6A01">
        <w:rPr>
          <w:rFonts w:ascii="Times New Roman" w:eastAsia="Times New Roman" w:hAnsi="Times New Roman" w:cs="Times New Roman"/>
          <w:kern w:val="0"/>
          <w:lang w:eastAsia="pt-BR"/>
          <w14:ligatures w14:val="none"/>
        </w:rPr>
        <w:br/>
        <w:t>III – Procurador da Fazenda Nacional;</w:t>
      </w:r>
      <w:r w:rsidRPr="00BC6A01">
        <w:rPr>
          <w:rFonts w:ascii="Times New Roman" w:eastAsia="Times New Roman" w:hAnsi="Times New Roman" w:cs="Times New Roman"/>
          <w:kern w:val="0"/>
          <w:lang w:eastAsia="pt-BR"/>
          <w14:ligatures w14:val="none"/>
        </w:rPr>
        <w:tab/>
      </w:r>
      <w:r w:rsidRPr="00BC6A01">
        <w:rPr>
          <w:rFonts w:ascii="Times New Roman" w:eastAsia="Times New Roman" w:hAnsi="Times New Roman" w:cs="Times New Roman"/>
          <w:kern w:val="0"/>
          <w:lang w:eastAsia="pt-BR"/>
          <w14:ligatures w14:val="none"/>
        </w:rPr>
        <w:br/>
        <w:t>IV – Procurador Federal.</w:t>
      </w:r>
    </w:p>
    <w:p w:rsidR="00BC6A01" w:rsidRPr="00BC6A01" w:rsidRDefault="00BC6A01" w:rsidP="00BC6A01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kern w:val="0"/>
          <w:lang w:eastAsia="pt-BR"/>
          <w14:ligatures w14:val="none"/>
        </w:rPr>
      </w:pPr>
      <w:r w:rsidRPr="00BC6A01">
        <w:rPr>
          <w:rFonts w:ascii="Times New Roman" w:eastAsia="Times New Roman" w:hAnsi="Times New Roman" w:cs="Times New Roman"/>
          <w:kern w:val="0"/>
          <w:lang w:eastAsia="pt-BR"/>
          <w14:ligatures w14:val="none"/>
        </w:rPr>
        <w:t>§ 1º Não poderão ser indicados para compor o Comitê os membros das carreiras que compõem o CCHA que se encontrem nas seguintes hipóteses de impedimento:</w:t>
      </w:r>
    </w:p>
    <w:p w:rsidR="00BC6A01" w:rsidRPr="00BC6A01" w:rsidRDefault="00BC6A01" w:rsidP="00BC6A01">
      <w:pPr>
        <w:spacing w:before="100" w:beforeAutospacing="1" w:after="100" w:afterAutospacing="1" w:line="240" w:lineRule="auto"/>
        <w:ind w:left="709"/>
        <w:jc w:val="both"/>
        <w:rPr>
          <w:rFonts w:ascii="Times New Roman" w:eastAsia="Times New Roman" w:hAnsi="Times New Roman" w:cs="Times New Roman"/>
          <w:kern w:val="0"/>
          <w:lang w:eastAsia="pt-BR"/>
          <w14:ligatures w14:val="none"/>
        </w:rPr>
      </w:pPr>
      <w:r w:rsidRPr="00BC6A01">
        <w:rPr>
          <w:rFonts w:ascii="Times New Roman" w:eastAsia="Times New Roman" w:hAnsi="Times New Roman" w:cs="Times New Roman"/>
          <w:kern w:val="0"/>
          <w:lang w:eastAsia="pt-BR"/>
          <w14:ligatures w14:val="none"/>
        </w:rPr>
        <w:t>I – em licença para tratar de interesses particulares;</w:t>
      </w:r>
      <w:r w:rsidRPr="00BC6A01">
        <w:rPr>
          <w:rFonts w:ascii="Times New Roman" w:eastAsia="Times New Roman" w:hAnsi="Times New Roman" w:cs="Times New Roman"/>
          <w:kern w:val="0"/>
          <w:lang w:eastAsia="pt-BR"/>
          <w14:ligatures w14:val="none"/>
        </w:rPr>
        <w:tab/>
      </w:r>
      <w:r w:rsidRPr="00BC6A01">
        <w:rPr>
          <w:rFonts w:ascii="Times New Roman" w:eastAsia="Times New Roman" w:hAnsi="Times New Roman" w:cs="Times New Roman"/>
          <w:kern w:val="0"/>
          <w:lang w:eastAsia="pt-BR"/>
          <w14:ligatures w14:val="none"/>
        </w:rPr>
        <w:br/>
        <w:t>II – em licença para acompanhar cônjuge ou companheiro;</w:t>
      </w:r>
      <w:r w:rsidRPr="00BC6A01">
        <w:rPr>
          <w:rFonts w:ascii="Times New Roman" w:eastAsia="Times New Roman" w:hAnsi="Times New Roman" w:cs="Times New Roman"/>
          <w:kern w:val="0"/>
          <w:lang w:eastAsia="pt-BR"/>
          <w14:ligatures w14:val="none"/>
        </w:rPr>
        <w:tab/>
      </w:r>
      <w:r w:rsidRPr="00BC6A01">
        <w:rPr>
          <w:rFonts w:ascii="Times New Roman" w:eastAsia="Times New Roman" w:hAnsi="Times New Roman" w:cs="Times New Roman"/>
          <w:kern w:val="0"/>
          <w:lang w:eastAsia="pt-BR"/>
          <w14:ligatures w14:val="none"/>
        </w:rPr>
        <w:br/>
        <w:t>III – em licença para atividade política;</w:t>
      </w:r>
      <w:r w:rsidRPr="00BC6A01">
        <w:rPr>
          <w:rFonts w:ascii="Times New Roman" w:eastAsia="Times New Roman" w:hAnsi="Times New Roman" w:cs="Times New Roman"/>
          <w:kern w:val="0"/>
          <w:lang w:eastAsia="pt-BR"/>
          <w14:ligatures w14:val="none"/>
        </w:rPr>
        <w:tab/>
      </w:r>
      <w:r w:rsidRPr="00BC6A01">
        <w:rPr>
          <w:rFonts w:ascii="Times New Roman" w:eastAsia="Times New Roman" w:hAnsi="Times New Roman" w:cs="Times New Roman"/>
          <w:kern w:val="0"/>
          <w:lang w:eastAsia="pt-BR"/>
          <w14:ligatures w14:val="none"/>
        </w:rPr>
        <w:br/>
        <w:t>IV – em afastamento para exercício de mandato eletivo;</w:t>
      </w:r>
      <w:r w:rsidRPr="00BC6A01">
        <w:rPr>
          <w:rFonts w:ascii="Times New Roman" w:eastAsia="Times New Roman" w:hAnsi="Times New Roman" w:cs="Times New Roman"/>
          <w:kern w:val="0"/>
          <w:lang w:eastAsia="pt-BR"/>
          <w14:ligatures w14:val="none"/>
        </w:rPr>
        <w:tab/>
      </w:r>
      <w:r w:rsidRPr="00BC6A01">
        <w:rPr>
          <w:rFonts w:ascii="Times New Roman" w:eastAsia="Times New Roman" w:hAnsi="Times New Roman" w:cs="Times New Roman"/>
          <w:kern w:val="0"/>
          <w:lang w:eastAsia="pt-BR"/>
          <w14:ligatures w14:val="none"/>
        </w:rPr>
        <w:br/>
      </w:r>
      <w:r w:rsidRPr="00BC6A01">
        <w:rPr>
          <w:rFonts w:ascii="Times New Roman" w:eastAsia="Times New Roman" w:hAnsi="Times New Roman" w:cs="Times New Roman"/>
          <w:kern w:val="0"/>
          <w:lang w:eastAsia="pt-BR"/>
          <w14:ligatures w14:val="none"/>
        </w:rPr>
        <w:lastRenderedPageBreak/>
        <w:t>V – cedido ou requisitado para entidade ou órgão estranho à administração pública federal direta, autárquica e fundacional;</w:t>
      </w:r>
      <w:r w:rsidRPr="00BC6A01">
        <w:rPr>
          <w:rFonts w:ascii="Times New Roman" w:eastAsia="Times New Roman" w:hAnsi="Times New Roman" w:cs="Times New Roman"/>
          <w:kern w:val="0"/>
          <w:lang w:eastAsia="pt-BR"/>
          <w14:ligatures w14:val="none"/>
        </w:rPr>
        <w:tab/>
      </w:r>
      <w:r w:rsidRPr="00BC6A01">
        <w:rPr>
          <w:rFonts w:ascii="Times New Roman" w:eastAsia="Times New Roman" w:hAnsi="Times New Roman" w:cs="Times New Roman"/>
          <w:kern w:val="0"/>
          <w:lang w:eastAsia="pt-BR"/>
          <w14:ligatures w14:val="none"/>
        </w:rPr>
        <w:br/>
        <w:t>VI – exonerado do cargo efetivo;</w:t>
      </w:r>
      <w:r w:rsidRPr="00BC6A01">
        <w:rPr>
          <w:rFonts w:ascii="Times New Roman" w:eastAsia="Times New Roman" w:hAnsi="Times New Roman" w:cs="Times New Roman"/>
          <w:kern w:val="0"/>
          <w:lang w:eastAsia="pt-BR"/>
          <w14:ligatures w14:val="none"/>
        </w:rPr>
        <w:tab/>
      </w:r>
      <w:r w:rsidRPr="00BC6A01">
        <w:rPr>
          <w:rFonts w:ascii="Times New Roman" w:eastAsia="Times New Roman" w:hAnsi="Times New Roman" w:cs="Times New Roman"/>
          <w:kern w:val="0"/>
          <w:lang w:eastAsia="pt-BR"/>
          <w14:ligatures w14:val="none"/>
        </w:rPr>
        <w:br/>
        <w:t>VII – que tenha tomado posse em outro cargo público não acumulável;</w:t>
      </w:r>
      <w:r w:rsidRPr="00BC6A01">
        <w:rPr>
          <w:rFonts w:ascii="Times New Roman" w:eastAsia="Times New Roman" w:hAnsi="Times New Roman" w:cs="Times New Roman"/>
          <w:kern w:val="0"/>
          <w:lang w:eastAsia="pt-BR"/>
          <w14:ligatures w14:val="none"/>
        </w:rPr>
        <w:tab/>
      </w:r>
      <w:r w:rsidRPr="00BC6A01">
        <w:rPr>
          <w:rFonts w:ascii="Times New Roman" w:eastAsia="Times New Roman" w:hAnsi="Times New Roman" w:cs="Times New Roman"/>
          <w:kern w:val="0"/>
          <w:lang w:eastAsia="pt-BR"/>
          <w14:ligatures w14:val="none"/>
        </w:rPr>
        <w:tab/>
      </w:r>
      <w:r w:rsidRPr="00BC6A01">
        <w:rPr>
          <w:rFonts w:ascii="Times New Roman" w:eastAsia="Times New Roman" w:hAnsi="Times New Roman" w:cs="Times New Roman"/>
          <w:kern w:val="0"/>
          <w:lang w:eastAsia="pt-BR"/>
          <w14:ligatures w14:val="none"/>
        </w:rPr>
        <w:br/>
        <w:t>VIII – demitido;</w:t>
      </w:r>
      <w:r w:rsidRPr="00BC6A01">
        <w:rPr>
          <w:rFonts w:ascii="Times New Roman" w:eastAsia="Times New Roman" w:hAnsi="Times New Roman" w:cs="Times New Roman"/>
          <w:kern w:val="0"/>
          <w:lang w:eastAsia="pt-BR"/>
          <w14:ligatures w14:val="none"/>
        </w:rPr>
        <w:tab/>
      </w:r>
      <w:r w:rsidRPr="00BC6A01">
        <w:rPr>
          <w:rFonts w:ascii="Times New Roman" w:eastAsia="Times New Roman" w:hAnsi="Times New Roman" w:cs="Times New Roman"/>
          <w:kern w:val="0"/>
          <w:lang w:eastAsia="pt-BR"/>
          <w14:ligatures w14:val="none"/>
        </w:rPr>
        <w:br/>
        <w:t>IX – que se encontre em situação de incompatibilidade ético-profissional.</w:t>
      </w:r>
    </w:p>
    <w:p w:rsidR="00BC6A01" w:rsidRPr="00BC6A01" w:rsidRDefault="00BC6A01" w:rsidP="00BC6A01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kern w:val="0"/>
          <w:lang w:eastAsia="pt-BR"/>
          <w14:ligatures w14:val="none"/>
        </w:rPr>
      </w:pPr>
      <w:r w:rsidRPr="00BC6A01">
        <w:rPr>
          <w:rFonts w:ascii="Times New Roman" w:eastAsia="Times New Roman" w:hAnsi="Times New Roman" w:cs="Times New Roman"/>
          <w:kern w:val="0"/>
          <w:lang w:eastAsia="pt-BR"/>
          <w14:ligatures w14:val="none"/>
        </w:rPr>
        <w:t>§ 2º Os representantes das carreiras exercerão suas funções no Comitê durante o tempo máximo correspondente ao mandato da gestão vigente do Conselho Curador, sendo permitida sua substituição a qualquer tempo, por decisão do respectivo Conselheiro Titular da carreira.</w:t>
      </w:r>
    </w:p>
    <w:p w:rsidR="00BC6A01" w:rsidRPr="00BC6A01" w:rsidRDefault="00BC6A01" w:rsidP="00BC6A01">
      <w:pPr>
        <w:spacing w:before="100" w:beforeAutospacing="1" w:after="100" w:afterAutospacing="1" w:line="240" w:lineRule="auto"/>
        <w:ind w:firstLine="708"/>
        <w:jc w:val="both"/>
        <w:outlineLvl w:val="2"/>
        <w:rPr>
          <w:rFonts w:ascii="Times New Roman" w:eastAsia="Times New Roman" w:hAnsi="Times New Roman" w:cs="Times New Roman"/>
          <w:kern w:val="0"/>
          <w:lang w:eastAsia="pt-BR"/>
          <w14:ligatures w14:val="none"/>
        </w:rPr>
      </w:pPr>
      <w:r w:rsidRPr="00BC6A01">
        <w:rPr>
          <w:rFonts w:ascii="Times New Roman" w:eastAsia="Times New Roman" w:hAnsi="Times New Roman" w:cs="Times New Roman"/>
          <w:kern w:val="0"/>
          <w:lang w:eastAsia="pt-BR"/>
          <w14:ligatures w14:val="none"/>
        </w:rPr>
        <w:t>Art. 3º</w:t>
      </w:r>
      <w:r w:rsidRPr="00BC6A01">
        <w:rPr>
          <w:rFonts w:ascii="Times New Roman" w:eastAsia="Times New Roman" w:hAnsi="Times New Roman" w:cs="Times New Roman"/>
          <w:kern w:val="0"/>
          <w:lang w:eastAsia="pt-BR"/>
          <w14:ligatures w14:val="none"/>
        </w:rPr>
        <w:t xml:space="preserve"> </w:t>
      </w:r>
      <w:r w:rsidRPr="00BC6A01">
        <w:rPr>
          <w:rFonts w:ascii="Times New Roman" w:eastAsia="Times New Roman" w:hAnsi="Times New Roman" w:cs="Times New Roman"/>
          <w:kern w:val="0"/>
          <w:lang w:eastAsia="pt-BR"/>
          <w14:ligatures w14:val="none"/>
        </w:rPr>
        <w:t>O Comitê Técnico de Saúde realizará reuniões ordinárias mensais, na modalidade virtual.</w:t>
      </w:r>
    </w:p>
    <w:p w:rsidR="00BC6A01" w:rsidRPr="00BC6A01" w:rsidRDefault="00BC6A01" w:rsidP="00BC6A01">
      <w:pPr>
        <w:spacing w:before="100" w:beforeAutospacing="1" w:after="100" w:afterAutospacing="1" w:line="240" w:lineRule="auto"/>
        <w:ind w:left="709"/>
        <w:jc w:val="both"/>
        <w:rPr>
          <w:rFonts w:ascii="Times New Roman" w:eastAsia="Times New Roman" w:hAnsi="Times New Roman" w:cs="Times New Roman"/>
          <w:kern w:val="0"/>
          <w:lang w:eastAsia="pt-BR"/>
          <w14:ligatures w14:val="none"/>
        </w:rPr>
      </w:pPr>
      <w:r w:rsidRPr="00BC6A01">
        <w:rPr>
          <w:rFonts w:ascii="Times New Roman" w:eastAsia="Times New Roman" w:hAnsi="Times New Roman" w:cs="Times New Roman"/>
          <w:kern w:val="0"/>
          <w:lang w:eastAsia="pt-BR"/>
          <w14:ligatures w14:val="none"/>
        </w:rPr>
        <w:t>§ 1º Excepcionalmente, poderão ser convocadas reuniões extraordinárias, mediante deliberação da maioria simples de seus membros.</w:t>
      </w:r>
      <w:r w:rsidRPr="00BC6A01">
        <w:rPr>
          <w:rFonts w:ascii="Times New Roman" w:eastAsia="Times New Roman" w:hAnsi="Times New Roman" w:cs="Times New Roman"/>
          <w:kern w:val="0"/>
          <w:lang w:eastAsia="pt-BR"/>
          <w14:ligatures w14:val="none"/>
        </w:rPr>
        <w:tab/>
      </w:r>
      <w:r w:rsidRPr="00BC6A01">
        <w:rPr>
          <w:rFonts w:ascii="Times New Roman" w:eastAsia="Times New Roman" w:hAnsi="Times New Roman" w:cs="Times New Roman"/>
          <w:kern w:val="0"/>
          <w:lang w:eastAsia="pt-BR"/>
          <w14:ligatures w14:val="none"/>
        </w:rPr>
        <w:br/>
        <w:t>§ 2º Quando houver necessidade do serviço, o Presidente do Conselho Curador poderá determinar a realização de reunião presencial.</w:t>
      </w:r>
      <w:r w:rsidRPr="00BC6A01">
        <w:rPr>
          <w:rFonts w:ascii="Times New Roman" w:eastAsia="Times New Roman" w:hAnsi="Times New Roman" w:cs="Times New Roman"/>
          <w:kern w:val="0"/>
          <w:lang w:eastAsia="pt-BR"/>
          <w14:ligatures w14:val="none"/>
        </w:rPr>
        <w:tab/>
      </w:r>
      <w:r w:rsidRPr="00BC6A01">
        <w:rPr>
          <w:rFonts w:ascii="Times New Roman" w:eastAsia="Times New Roman" w:hAnsi="Times New Roman" w:cs="Times New Roman"/>
          <w:kern w:val="0"/>
          <w:lang w:eastAsia="pt-BR"/>
          <w14:ligatures w14:val="none"/>
        </w:rPr>
        <w:br/>
        <w:t>§ 3º O quórum mínimo para instalação das reuniões e deliberação dos debates é de 3/4 (três quartos) dos membros do colegiado.</w:t>
      </w:r>
      <w:r w:rsidRPr="00BC6A01">
        <w:rPr>
          <w:rFonts w:ascii="Times New Roman" w:eastAsia="Times New Roman" w:hAnsi="Times New Roman" w:cs="Times New Roman"/>
          <w:kern w:val="0"/>
          <w:lang w:eastAsia="pt-BR"/>
          <w14:ligatures w14:val="none"/>
        </w:rPr>
        <w:tab/>
      </w:r>
      <w:r w:rsidRPr="00BC6A01">
        <w:rPr>
          <w:rFonts w:ascii="Times New Roman" w:eastAsia="Times New Roman" w:hAnsi="Times New Roman" w:cs="Times New Roman"/>
          <w:kern w:val="0"/>
          <w:lang w:eastAsia="pt-BR"/>
          <w14:ligatures w14:val="none"/>
        </w:rPr>
        <w:br/>
        <w:t>§ 4º Mensalmente, o colegiado deverá apresentar relatório opinativo ao Conselho Gestor, aprovado por maioria simples, contendo a ementa do caso analisado, o relatório técnico e a deliberação fundamentada.</w:t>
      </w:r>
      <w:r w:rsidRPr="00BC6A01">
        <w:rPr>
          <w:rFonts w:ascii="Times New Roman" w:eastAsia="Times New Roman" w:hAnsi="Times New Roman" w:cs="Times New Roman"/>
          <w:kern w:val="0"/>
          <w:lang w:eastAsia="pt-BR"/>
          <w14:ligatures w14:val="none"/>
        </w:rPr>
        <w:tab/>
      </w:r>
      <w:r w:rsidRPr="00BC6A01">
        <w:rPr>
          <w:rFonts w:ascii="Times New Roman" w:eastAsia="Times New Roman" w:hAnsi="Times New Roman" w:cs="Times New Roman"/>
          <w:kern w:val="0"/>
          <w:lang w:eastAsia="pt-BR"/>
          <w14:ligatures w14:val="none"/>
        </w:rPr>
        <w:br/>
        <w:t>§ 5º Em caso de empate ou divergência entre os membros do Comitê, o relatório final deverá registrar as manifestações técnicas das diferentes correntes, apresentando os fundamentos de cada posicionamento.</w:t>
      </w:r>
    </w:p>
    <w:p w:rsidR="00BC6A01" w:rsidRPr="00BC6A01" w:rsidRDefault="00BC6A01" w:rsidP="00BC6A01">
      <w:pPr>
        <w:spacing w:before="100" w:beforeAutospacing="1" w:after="100" w:afterAutospacing="1" w:line="240" w:lineRule="auto"/>
        <w:ind w:firstLine="708"/>
        <w:jc w:val="both"/>
        <w:outlineLvl w:val="2"/>
        <w:rPr>
          <w:rFonts w:ascii="Times New Roman" w:eastAsia="Times New Roman" w:hAnsi="Times New Roman" w:cs="Times New Roman"/>
          <w:kern w:val="0"/>
          <w:lang w:eastAsia="pt-BR"/>
          <w14:ligatures w14:val="none"/>
        </w:rPr>
      </w:pPr>
      <w:r w:rsidRPr="00BC6A01">
        <w:rPr>
          <w:rFonts w:ascii="Times New Roman" w:eastAsia="Times New Roman" w:hAnsi="Times New Roman" w:cs="Times New Roman"/>
          <w:kern w:val="0"/>
          <w:lang w:eastAsia="pt-BR"/>
          <w14:ligatures w14:val="none"/>
        </w:rPr>
        <w:t>Art. 4º</w:t>
      </w:r>
      <w:r w:rsidRPr="00BC6A01">
        <w:rPr>
          <w:rFonts w:ascii="Times New Roman" w:eastAsia="Times New Roman" w:hAnsi="Times New Roman" w:cs="Times New Roman"/>
          <w:kern w:val="0"/>
          <w:lang w:eastAsia="pt-BR"/>
          <w14:ligatures w14:val="none"/>
        </w:rPr>
        <w:t xml:space="preserve"> </w:t>
      </w:r>
      <w:r w:rsidRPr="00BC6A01">
        <w:rPr>
          <w:rFonts w:ascii="Times New Roman" w:eastAsia="Times New Roman" w:hAnsi="Times New Roman" w:cs="Times New Roman"/>
          <w:kern w:val="0"/>
          <w:lang w:eastAsia="pt-BR"/>
          <w14:ligatures w14:val="none"/>
        </w:rPr>
        <w:t>Esta Resolução entra em vigor na data de sua publicação.</w:t>
      </w:r>
    </w:p>
    <w:p w:rsidR="00BC6A01" w:rsidRPr="00BC6A01" w:rsidRDefault="00BC6A01" w:rsidP="00BC6A01">
      <w:pPr>
        <w:jc w:val="both"/>
        <w:rPr>
          <w:rFonts w:ascii="Times New Roman" w:hAnsi="Times New Roman" w:cs="Times New Roman"/>
        </w:rPr>
      </w:pPr>
    </w:p>
    <w:sectPr w:rsidR="00BC6A01" w:rsidRPr="00BC6A0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8A4218" w:rsidRDefault="008A4218" w:rsidP="00BC6A01">
      <w:pPr>
        <w:spacing w:after="0" w:line="240" w:lineRule="auto"/>
      </w:pPr>
      <w:r>
        <w:separator/>
      </w:r>
    </w:p>
  </w:endnote>
  <w:endnote w:type="continuationSeparator" w:id="0">
    <w:p w:rsidR="008A4218" w:rsidRDefault="008A4218" w:rsidP="00BC6A0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8A4218" w:rsidRDefault="008A4218" w:rsidP="00BC6A01">
      <w:pPr>
        <w:spacing w:after="0" w:line="240" w:lineRule="auto"/>
      </w:pPr>
      <w:r>
        <w:separator/>
      </w:r>
    </w:p>
  </w:footnote>
  <w:footnote w:type="continuationSeparator" w:id="0">
    <w:p w:rsidR="008A4218" w:rsidRDefault="008A4218" w:rsidP="00BC6A0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6A01"/>
    <w:rsid w:val="008A4218"/>
    <w:rsid w:val="008C4574"/>
    <w:rsid w:val="00BC6A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147FD4"/>
  <w15:chartTrackingRefBased/>
  <w15:docId w15:val="{F17A33EE-C049-0C41-931C-D4E43EB3F4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BC6A0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BC6A0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BC6A0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BC6A0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BC6A0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BC6A0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BC6A0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BC6A0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BC6A0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BC6A0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BC6A0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rsid w:val="00BC6A0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BC6A01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BC6A01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BC6A01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BC6A01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BC6A01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BC6A01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BC6A0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BC6A0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BC6A0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BC6A0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BC6A0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BC6A01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BC6A01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BC6A01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BC6A0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BC6A01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BC6A01"/>
    <w:rPr>
      <w:b/>
      <w:bCs/>
      <w:smallCaps/>
      <w:color w:val="2F5496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BC6A0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pt-BR"/>
      <w14:ligatures w14:val="none"/>
    </w:rPr>
  </w:style>
  <w:style w:type="character" w:styleId="Forte">
    <w:name w:val="Strong"/>
    <w:basedOn w:val="Fontepargpadro"/>
    <w:uiPriority w:val="22"/>
    <w:qFormat/>
    <w:rsid w:val="00BC6A01"/>
    <w:rPr>
      <w:b/>
      <w:bCs/>
    </w:rPr>
  </w:style>
  <w:style w:type="paragraph" w:styleId="Cabealho">
    <w:name w:val="header"/>
    <w:basedOn w:val="Normal"/>
    <w:link w:val="CabealhoChar"/>
    <w:uiPriority w:val="99"/>
    <w:unhideWhenUsed/>
    <w:rsid w:val="00BC6A0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BC6A01"/>
  </w:style>
  <w:style w:type="paragraph" w:styleId="Rodap">
    <w:name w:val="footer"/>
    <w:basedOn w:val="Normal"/>
    <w:link w:val="RodapChar"/>
    <w:uiPriority w:val="99"/>
    <w:unhideWhenUsed/>
    <w:rsid w:val="00BC6A0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BC6A0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503</Words>
  <Characters>2721</Characters>
  <Application>Microsoft Office Word</Application>
  <DocSecurity>0</DocSecurity>
  <Lines>22</Lines>
  <Paragraphs>6</Paragraphs>
  <ScaleCrop>false</ScaleCrop>
  <Company/>
  <LinksUpToDate>false</LinksUpToDate>
  <CharactersWithSpaces>3218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Julio Monte</dc:creator>
  <cp:keywords/>
  <dc:description/>
  <cp:lastModifiedBy>Julio Monte</cp:lastModifiedBy>
  <cp:revision>1</cp:revision>
  <dcterms:created xsi:type="dcterms:W3CDTF">2025-11-06T18:08:00Z</dcterms:created>
  <dcterms:modified xsi:type="dcterms:W3CDTF">2025-11-06T18:16:00Z</dcterms:modified>
</cp:coreProperties>
</file>